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러시아어</w:t>
            </w:r>
          </w:p>
        </w:tc>
      </w:tr>
      <w:tr>
        <w:trPr>
          <w:trHeight w:val="1403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코로나19로 어려움을 겪는 대한민국 모든 국민에게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 제공합니다!</w:t>
            </w:r>
          </w:p>
        </w:tc>
        <w:tc>
          <w:tcPr>
            <w:tcW w:w="5356" w:type="dxa"/>
            <w:vAlign w:val="top"/>
          </w:tcPr>
          <w:p>
            <w:pPr>
              <w:rPr>
                <w:lang w:val="ru-RU"/>
                <w:rFonts w:asciiTheme="minorEastAsia" w:hAnsiTheme="minorEastAsia"/>
                <w:szCs w:val="20"/>
                <w:rtl w:val="off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Предоставление финансовой поддержки для всех граждан Республики Корея в связи с чрезвычайной обстановкой в стране из-за пандемии коронавируса!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소득, 재산과 상관없이 대한민국 모든 국민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все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граждане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Республики Корея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вне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зависимости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от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дохода</w:t>
            </w:r>
            <w:r>
              <w:rPr>
                <w:rFonts w:asciiTheme="minorEastAsia" w:hAnsiTheme="minorEastAsia"/>
                <w:szCs w:val="20"/>
              </w:rPr>
              <w:t xml:space="preserve"> и </w:t>
            </w:r>
            <w:r>
              <w:rPr>
                <w:rFonts w:asciiTheme="minorEastAsia" w:hAnsiTheme="minorEastAsia"/>
                <w:szCs w:val="20"/>
              </w:rPr>
              <w:t>материального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состояния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(주민등록 세대 기준+건강보험료상 가구 기준)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классификация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согласно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регистрации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граждан</w:t>
            </w:r>
            <w:r>
              <w:rPr>
                <w:rFonts w:asciiTheme="minorEastAsia" w:hAnsiTheme="minorEastAsia"/>
                <w:szCs w:val="20"/>
              </w:rPr>
              <w:t xml:space="preserve"> и </w:t>
            </w:r>
            <w:r>
              <w:rPr>
                <w:rFonts w:asciiTheme="minorEastAsia" w:hAnsiTheme="minorEastAsia"/>
                <w:szCs w:val="20"/>
              </w:rPr>
              <w:t>семей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имеющих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государственное медицинское </w:t>
            </w:r>
            <w:r>
              <w:rPr>
                <w:rFonts w:asciiTheme="minorEastAsia" w:hAnsiTheme="minorEastAsia"/>
                <w:color w:val="0000FF"/>
                <w:szCs w:val="20"/>
              </w:rPr>
              <w:t>страхование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pStyle w:val="a4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1인 40만원, 2인 60만원, 3인 80만원, 4인이상 100만원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400 </w:t>
            </w:r>
            <w:r>
              <w:rPr>
                <w:rFonts w:asciiTheme="minorEastAsia" w:hAnsiTheme="minorEastAsia"/>
                <w:szCs w:val="20"/>
              </w:rPr>
              <w:t>тысяч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одного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человека</w:t>
            </w:r>
            <w:r>
              <w:rPr>
                <w:rFonts w:asciiTheme="minorEastAsia" w:hAnsiTheme="minorEastAsia"/>
                <w:szCs w:val="20"/>
              </w:rPr>
              <w:t>,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600 </w:t>
            </w:r>
            <w:r>
              <w:rPr>
                <w:rFonts w:asciiTheme="minorEastAsia" w:hAnsiTheme="minorEastAsia"/>
                <w:color w:val="0000FF"/>
                <w:szCs w:val="20"/>
              </w:rPr>
              <w:t>тысяч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на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2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ч</w:t>
            </w:r>
            <w:r>
              <w:rPr>
                <w:rFonts w:asciiTheme="minorEastAsia" w:hAnsiTheme="minorEastAsia"/>
                <w:color w:val="0000FF"/>
                <w:szCs w:val="20"/>
              </w:rPr>
              <w:t>ел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.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, 800 </w:t>
            </w:r>
            <w:r>
              <w:rPr>
                <w:rFonts w:asciiTheme="minorEastAsia" w:hAnsiTheme="minorEastAsia"/>
                <w:color w:val="0000FF"/>
                <w:szCs w:val="20"/>
              </w:rPr>
              <w:t>тысяч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на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3 </w:t>
            </w:r>
            <w:r>
              <w:rPr>
                <w:rFonts w:asciiTheme="minorEastAsia" w:hAnsiTheme="minorEastAsia"/>
                <w:color w:val="0000FF"/>
                <w:szCs w:val="20"/>
              </w:rPr>
              <w:t>чел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.</w:t>
            </w:r>
            <w:r>
              <w:rPr>
                <w:rFonts w:asciiTheme="minorEastAsia" w:hAnsiTheme="minorEastAsia"/>
                <w:color w:val="0000FF"/>
                <w:szCs w:val="20"/>
              </w:rPr>
              <w:t>,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1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миллион вон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4 чел. и более </w:t>
            </w:r>
          </w:p>
        </w:tc>
      </w:tr>
      <w:tr>
        <w:trPr>
          <w:trHeight w:val="498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 통합 조회 방법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С</w:t>
            </w:r>
            <w:r>
              <w:rPr>
                <w:rFonts w:asciiTheme="minorEastAsia" w:hAnsiTheme="minorEastAsia"/>
                <w:color w:val="0000FF"/>
                <w:szCs w:val="20"/>
              </w:rPr>
              <w:t>пособ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проверки </w:t>
            </w:r>
            <w:r>
              <w:rPr>
                <w:rFonts w:asciiTheme="minorEastAsia" w:hAnsiTheme="minorEastAsia"/>
                <w:color w:val="0000FF"/>
                <w:szCs w:val="20"/>
              </w:rPr>
              <w:t>запроса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для всех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кандидатов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조회기간 : 2020. 5. 4.(월) 09:00~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период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запроса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от</w:t>
            </w:r>
            <w:r>
              <w:rPr>
                <w:rFonts w:asciiTheme="minorEastAsia" w:hAnsiTheme="minorEastAsia"/>
                <w:szCs w:val="20"/>
              </w:rPr>
              <w:t xml:space="preserve"> 2020.5.4 (</w:t>
            </w:r>
            <w:r>
              <w:rPr>
                <w:rFonts w:asciiTheme="minorEastAsia" w:hAnsiTheme="minorEastAsia"/>
                <w:szCs w:val="20"/>
              </w:rPr>
              <w:t>понедельник</w:t>
            </w:r>
            <w:r>
              <w:rPr>
                <w:rFonts w:asciiTheme="minorEastAsia" w:hAnsiTheme="minorEastAsia"/>
                <w:szCs w:val="20"/>
              </w:rPr>
              <w:t>) ~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조회방법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fldChar w:fldCharType="begin"/>
            </w:r>
            <w:r>
              <w:rPr>
                <w:rFonts w:asciiTheme="minorEastAsia" w:hAnsiTheme="minorEastAsia"/>
                <w:szCs w:val="20"/>
              </w:rPr>
              <w:instrText xml:space="preserve"> HYPERLINK "http://긴급재난지원금.kr" </w:instrText>
            </w:r>
            <w:r>
              <w:rPr>
                <w:rFonts w:asciiTheme="minorEastAsia" w:hAnsiTheme="minorEastAsia"/>
                <w:szCs w:val="20"/>
              </w:rPr>
              <w:fldChar w:fldCharType="separate"/>
            </w:r>
            <w:r>
              <w:rPr>
                <w:rStyle w:val="a6"/>
                <w:rFonts w:asciiTheme="minorEastAsia" w:hAnsiTheme="minorEastAsia"/>
                <w:szCs w:val="20"/>
              </w:rPr>
              <w:t>http://긴급재난지원금.kr</w:t>
            </w:r>
            <w:r>
              <w:rPr>
                <w:rStyle w:val="a6"/>
                <w:rFonts w:asciiTheme="minorEastAsia" w:hAnsiTheme="minorEastAsia"/>
                <w:szCs w:val="20"/>
              </w:rPr>
              <w:fldChar w:fldCharType="end"/>
            </w:r>
            <w:r>
              <w:rPr>
                <w:rFonts w:asciiTheme="minorEastAsia" w:hAnsiTheme="minorEastAsia"/>
                <w:szCs w:val="20"/>
              </w:rPr>
              <w:t xml:space="preserve"> 접속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→ 공인인증서 로그인(세대주만 가능) → 조회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способ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проверки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зайти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сайт</w:t>
            </w:r>
            <w:r>
              <w:rPr>
                <w:rFonts w:asciiTheme="minorEastAsia" w:hAnsiTheme="minorEastAsia"/>
                <w:szCs w:val="20"/>
              </w:rPr>
              <w:t xml:space="preserve">  http://긴급재난지원금.</w:t>
            </w:r>
            <w:r>
              <w:rPr>
                <w:rFonts w:asciiTheme="minorEastAsia" w:hAnsiTheme="minorEastAsia"/>
                <w:szCs w:val="20"/>
              </w:rPr>
              <w:t>kr</w:t>
            </w:r>
            <w:r>
              <w:rPr>
                <w:rFonts w:asciiTheme="minorEastAsia" w:hAnsiTheme="minorEastAsia"/>
                <w:szCs w:val="20"/>
              </w:rPr>
              <w:t xml:space="preserve"> -&gt; </w:t>
            </w:r>
            <w:r>
              <w:rPr>
                <w:rFonts w:asciiTheme="minorEastAsia" w:hAnsiTheme="minorEastAsia"/>
                <w:szCs w:val="20"/>
              </w:rPr>
              <w:t>сделать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логин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при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электронной подписи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-&gt; </w:t>
            </w:r>
            <w:r>
              <w:rPr>
                <w:rFonts w:asciiTheme="minorEastAsia" w:hAnsiTheme="minorEastAsia"/>
                <w:szCs w:val="20"/>
              </w:rPr>
              <w:t>запрос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신청방법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color w:val="0000FF"/>
                <w:szCs w:val="20"/>
              </w:rPr>
              <w:t>способ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подачи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заявки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на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финансовую поддержку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01. 대상가구의 세대주가 신청  (신분증, 공인인증서)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1. З</w:t>
            </w:r>
            <w:r>
              <w:rPr>
                <w:rFonts w:asciiTheme="minorEastAsia" w:hAnsiTheme="minorEastAsia"/>
                <w:szCs w:val="20"/>
              </w:rPr>
              <w:t>аявку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может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подать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глава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семьи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удостоверение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личности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электронная подпись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온라인/오프라인 신청 시 혼잡을 피하기 위해 '요일제'시행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 1,6 화 2,7 수 3,8 목 4,9 금 5,0 토·일 모두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2. В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целях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избежания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скопления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народа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регистрация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проводится </w:t>
            </w:r>
            <w:r>
              <w:rPr>
                <w:rFonts w:asciiTheme="minorEastAsia" w:hAnsiTheme="minorEastAsia"/>
                <w:color w:val="0000FF"/>
                <w:szCs w:val="20"/>
              </w:rPr>
              <w:t>онлайн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>оффлайн</w:t>
            </w:r>
            <w:r>
              <w:rPr>
                <w:rFonts w:asciiTheme="minorEastAsia" w:hAnsiTheme="minorEastAsia"/>
                <w:szCs w:val="20"/>
              </w:rPr>
              <w:t xml:space="preserve"> "</w:t>
            </w:r>
            <w:r>
              <w:rPr>
                <w:rFonts w:asciiTheme="minorEastAsia" w:hAnsiTheme="minorEastAsia"/>
                <w:szCs w:val="20"/>
              </w:rPr>
              <w:t>по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определенным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дням</w:t>
            </w:r>
            <w:r>
              <w:rPr>
                <w:rFonts w:asciiTheme="minorEastAsia" w:hAnsiTheme="minorEastAsia"/>
                <w:szCs w:val="20"/>
              </w:rPr>
              <w:t xml:space="preserve">". 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П</w:t>
            </w:r>
            <w:r>
              <w:rPr>
                <w:rFonts w:asciiTheme="minorEastAsia" w:hAnsiTheme="minorEastAsia"/>
                <w:color w:val="0000FF"/>
                <w:szCs w:val="20"/>
              </w:rPr>
              <w:t>онедельник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1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6 , </w:t>
            </w:r>
            <w:r>
              <w:rPr>
                <w:rFonts w:asciiTheme="minorEastAsia" w:hAnsiTheme="minorEastAsia"/>
                <w:color w:val="0000FF"/>
                <w:szCs w:val="20"/>
              </w:rPr>
              <w:t>вторник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2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>7 , сред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а </w:t>
            </w:r>
            <w:r>
              <w:rPr>
                <w:rFonts w:asciiTheme="minorEastAsia" w:hAnsiTheme="minorEastAsia"/>
                <w:color w:val="0000FF"/>
                <w:szCs w:val="20"/>
              </w:rPr>
              <w:t>3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>8 , четверг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4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>9 , пятниц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а </w:t>
            </w:r>
            <w:r>
              <w:rPr>
                <w:rFonts w:asciiTheme="minorEastAsia" w:hAnsiTheme="minorEastAsia"/>
                <w:color w:val="0000FF"/>
                <w:szCs w:val="20"/>
              </w:rPr>
              <w:t>5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 и </w:t>
            </w:r>
            <w:r>
              <w:rPr>
                <w:rFonts w:asciiTheme="minorEastAsia" w:hAnsiTheme="minorEastAsia"/>
                <w:color w:val="0000FF"/>
                <w:szCs w:val="20"/>
              </w:rPr>
              <w:t>0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, суббота и воскресенье для всех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출생연도 끝자리별로 신청요일 제한, 토·일 방문접수 불가 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ограниченная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регистрация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по </w:t>
            </w:r>
            <w:r>
              <w:rPr>
                <w:rFonts w:asciiTheme="minorEastAsia" w:hAnsiTheme="minorEastAsia"/>
                <w:szCs w:val="20"/>
              </w:rPr>
              <w:t>последней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цифре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года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рождения</w:t>
            </w:r>
            <w:r>
              <w:rPr>
                <w:rFonts w:asciiTheme="minorEastAsia" w:hAnsiTheme="minorEastAsia"/>
                <w:szCs w:val="20"/>
              </w:rPr>
              <w:t xml:space="preserve">, в </w:t>
            </w:r>
            <w:r>
              <w:rPr>
                <w:rFonts w:asciiTheme="minorEastAsia" w:hAnsiTheme="minorEastAsia"/>
                <w:szCs w:val="20"/>
              </w:rPr>
              <w:t>субботу</w:t>
            </w:r>
            <w:r>
              <w:rPr>
                <w:rFonts w:asciiTheme="minorEastAsia" w:hAnsiTheme="minorEastAsia"/>
                <w:szCs w:val="20"/>
              </w:rPr>
              <w:t xml:space="preserve"> и в </w:t>
            </w:r>
            <w:r>
              <w:rPr>
                <w:rFonts w:asciiTheme="minorEastAsia" w:hAnsiTheme="minorEastAsia"/>
                <w:szCs w:val="20"/>
              </w:rPr>
              <w:t>воскресенье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принимаются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※카드사 온라인 신청은 5.16부터 '요일제'제외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регистрация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онлайн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посредством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ар</w:t>
            </w:r>
            <w:r>
              <w:rPr>
                <w:rFonts w:asciiTheme="minorEastAsia" w:hAnsiTheme="minorEastAsia"/>
                <w:szCs w:val="20"/>
              </w:rPr>
              <w:t>точек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начнётся</w:t>
            </w:r>
            <w:r>
              <w:rPr>
                <w:rFonts w:asciiTheme="minorEastAsia" w:hAnsiTheme="minorEastAsia"/>
                <w:szCs w:val="20"/>
              </w:rPr>
              <w:t xml:space="preserve"> с 16го </w:t>
            </w:r>
            <w:r>
              <w:rPr>
                <w:rFonts w:asciiTheme="minorEastAsia" w:hAnsiTheme="minorEastAsia"/>
                <w:szCs w:val="20"/>
              </w:rPr>
              <w:t>мая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без определенных дней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신용카드, 체크카드 충전으로 받고싶다면? 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Е</w:t>
            </w:r>
            <w:r>
              <w:rPr>
                <w:rFonts w:asciiTheme="minorEastAsia" w:hAnsiTheme="minorEastAsia"/>
                <w:szCs w:val="20"/>
              </w:rPr>
              <w:t>сли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вы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хотите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получить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посредством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пополнения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кредитной</w:t>
            </w:r>
            <w:r>
              <w:rPr>
                <w:rFonts w:asciiTheme="minorEastAsia" w:hAnsiTheme="minorEastAsia"/>
                <w:szCs w:val="20"/>
              </w:rPr>
              <w:t xml:space="preserve"> либо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чек-карточки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온라인 5.11.(월)~ , 오프라인 5.18.(월)~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 xml:space="preserve">период регистрации </w:t>
            </w:r>
            <w:r>
              <w:rPr>
                <w:rFonts w:asciiTheme="minorEastAsia" w:hAnsiTheme="minorEastAsia"/>
                <w:szCs w:val="20"/>
              </w:rPr>
              <w:t xml:space="preserve">→ </w:t>
            </w:r>
            <w:r>
              <w:rPr>
                <w:rFonts w:asciiTheme="minorEastAsia" w:hAnsiTheme="minorEastAsia"/>
                <w:szCs w:val="20"/>
              </w:rPr>
              <w:t>онлайн</w:t>
            </w:r>
            <w:r>
              <w:rPr>
                <w:rFonts w:asciiTheme="minorEastAsia" w:hAnsiTheme="minorEastAsia"/>
                <w:szCs w:val="20"/>
              </w:rPr>
              <w:t xml:space="preserve"> с 15го </w:t>
            </w:r>
            <w:r>
              <w:rPr>
                <w:rFonts w:asciiTheme="minorEastAsia" w:hAnsiTheme="minorEastAsia"/>
                <w:szCs w:val="20"/>
              </w:rPr>
              <w:t>мая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понедельник</w:t>
            </w:r>
            <w:r>
              <w:rPr>
                <w:rFonts w:asciiTheme="minorEastAsia" w:hAnsiTheme="minorEastAsia"/>
                <w:szCs w:val="20"/>
              </w:rPr>
              <w:t>) 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оффлайн</w:t>
            </w:r>
            <w:r>
              <w:rPr>
                <w:rFonts w:asciiTheme="minorEastAsia" w:hAnsiTheme="minorEastAsia"/>
                <w:szCs w:val="20"/>
              </w:rPr>
              <w:t xml:space="preserve"> с 18го </w:t>
            </w:r>
            <w:r>
              <w:rPr>
                <w:rFonts w:asciiTheme="minorEastAsia" w:hAnsiTheme="minorEastAsia"/>
                <w:szCs w:val="20"/>
              </w:rPr>
              <w:t>мая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понедельник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온라인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 홈페이지에서 신청하세요!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①로그인 ②신청 ③지급(충전)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З</w:t>
            </w:r>
            <w:r>
              <w:rPr>
                <w:rFonts w:asciiTheme="minorEastAsia" w:hAnsiTheme="minorEastAsia"/>
                <w:szCs w:val="20"/>
              </w:rPr>
              <w:t>аявка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онлайн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делайте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домашней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страничке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кредитного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центра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pStyle w:val="a7"/>
              <w:ind w:leftChars="0"/>
              <w:numPr>
                <w:ilvl w:val="0"/>
                <w:numId w:val="1"/>
              </w:num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логин</w:t>
            </w:r>
            <w:r>
              <w:rPr>
                <w:rFonts w:asciiTheme="minorEastAsia" w:hAnsiTheme="minorEastAsia"/>
                <w:szCs w:val="20"/>
              </w:rPr>
              <w:t xml:space="preserve"> ② </w:t>
            </w:r>
            <w:r>
              <w:rPr>
                <w:rFonts w:asciiTheme="minorEastAsia" w:hAnsiTheme="minorEastAsia"/>
                <w:szCs w:val="20"/>
              </w:rPr>
              <w:t>подача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заявления</w:t>
            </w:r>
            <w:r>
              <w:rPr>
                <w:rFonts w:asciiTheme="minorEastAsia" w:hAnsiTheme="minorEastAsia"/>
                <w:szCs w:val="20"/>
              </w:rPr>
              <w:t xml:space="preserve"> ③ </w:t>
            </w:r>
            <w:r>
              <w:rPr>
                <w:rFonts w:asciiTheme="minorEastAsia" w:hAnsiTheme="minorEastAsia"/>
                <w:szCs w:val="20"/>
              </w:rPr>
              <w:t>получение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а</w:t>
            </w:r>
            <w:r>
              <w:rPr>
                <w:rFonts w:asciiTheme="minorEastAsia" w:hAnsiTheme="minorEastAsia"/>
                <w:szCs w:val="20"/>
              </w:rPr>
              <w:t>льной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через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пополнение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오프라인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 은행 창구에서 신청하세요!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①은행방문 ②신청 ③지급(충전)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Заявка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о</w:t>
            </w:r>
            <w:r>
              <w:rPr>
                <w:rFonts w:asciiTheme="minorEastAsia" w:hAnsiTheme="minorEastAsia"/>
                <w:szCs w:val="20"/>
              </w:rPr>
              <w:t>ффлайн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свяжитесь</w:t>
            </w:r>
            <w:r>
              <w:rPr>
                <w:rFonts w:asciiTheme="minorEastAsia" w:hAnsiTheme="minorEastAsia"/>
                <w:szCs w:val="20"/>
              </w:rPr>
              <w:t xml:space="preserve"> с </w:t>
            </w:r>
            <w:r>
              <w:rPr>
                <w:rFonts w:asciiTheme="minorEastAsia" w:hAnsiTheme="minorEastAsia"/>
                <w:szCs w:val="20"/>
              </w:rPr>
              <w:t>кредитным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центром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данного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банка</w:t>
            </w:r>
            <w:r>
              <w:rPr>
                <w:rFonts w:asciiTheme="minorEastAsia" w:hAnsiTheme="minorEastAsia"/>
                <w:szCs w:val="20"/>
              </w:rPr>
              <w:t xml:space="preserve"> и </w:t>
            </w:r>
            <w:r>
              <w:rPr>
                <w:rFonts w:asciiTheme="minorEastAsia" w:hAnsiTheme="minorEastAsia"/>
                <w:szCs w:val="20"/>
              </w:rPr>
              <w:t>сделайте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регистрацию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кассе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상품권, 선불카드로 받고싶다면?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5.18.(월)~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Е</w:t>
            </w:r>
            <w:r>
              <w:rPr>
                <w:rFonts w:asciiTheme="minorEastAsia" w:hAnsiTheme="minorEastAsia"/>
                <w:szCs w:val="20"/>
              </w:rPr>
              <w:t>сли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вы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хотите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получить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материальную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посредством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предоплатной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карточки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либо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талона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вы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должны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сделать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регистрацию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после</w:t>
            </w:r>
            <w:r>
              <w:rPr>
                <w:rFonts w:asciiTheme="minorEastAsia" w:hAnsiTheme="minorEastAsia"/>
                <w:szCs w:val="20"/>
              </w:rPr>
              <w:t xml:space="preserve"> 18го </w:t>
            </w:r>
            <w:r>
              <w:rPr>
                <w:rFonts w:asciiTheme="minorEastAsia" w:hAnsiTheme="minorEastAsia"/>
                <w:szCs w:val="20"/>
              </w:rPr>
              <w:t>мая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 별도 홈페이지에서 신청하세요!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①지자체별 홈페이지 ②신청 ③지정장소 방문 ④지급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О</w:t>
            </w:r>
            <w:r>
              <w:rPr>
                <w:rFonts w:asciiTheme="minorEastAsia" w:hAnsiTheme="minorEastAsia"/>
                <w:szCs w:val="20"/>
              </w:rPr>
              <w:t>нлайн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делайте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регистрацию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домашей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страничке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>органов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pStyle w:val="a7"/>
              <w:ind w:leftChars="0"/>
              <w:numPr>
                <w:ilvl w:val="0"/>
                <w:numId w:val="2"/>
              </w:num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органы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szCs w:val="20"/>
              </w:rPr>
              <w:t xml:space="preserve"> ② </w:t>
            </w:r>
            <w:r>
              <w:rPr>
                <w:rFonts w:asciiTheme="minorEastAsia" w:hAnsiTheme="minorEastAsia"/>
                <w:szCs w:val="20"/>
              </w:rPr>
              <w:t>заявка</w:t>
            </w:r>
            <w:r>
              <w:rPr>
                <w:rFonts w:asciiTheme="minorEastAsia" w:hAnsiTheme="minorEastAsia"/>
                <w:szCs w:val="20"/>
              </w:rPr>
              <w:t xml:space="preserve"> ③ </w:t>
            </w:r>
            <w:r>
              <w:rPr>
                <w:rFonts w:asciiTheme="minorEastAsia" w:hAnsiTheme="minorEastAsia"/>
                <w:szCs w:val="20"/>
              </w:rPr>
              <w:t>посещение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соответственного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учреждения</w:t>
            </w:r>
            <w:r>
              <w:rPr>
                <w:rFonts w:asciiTheme="minorEastAsia" w:hAnsiTheme="minorEastAsia"/>
                <w:szCs w:val="20"/>
              </w:rPr>
              <w:t xml:space="preserve"> ④ </w:t>
            </w:r>
            <w:r>
              <w:rPr>
                <w:rFonts w:asciiTheme="minorEastAsia" w:hAnsiTheme="minorEastAsia"/>
                <w:szCs w:val="20"/>
              </w:rPr>
              <w:t>получение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 주민센터에서 신청하세요!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①읍면동 방문 ②신청 ③지급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О</w:t>
            </w:r>
            <w:r>
              <w:rPr>
                <w:rFonts w:asciiTheme="minorEastAsia" w:hAnsiTheme="minorEastAsia"/>
                <w:szCs w:val="20"/>
              </w:rPr>
              <w:t>ффлайн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делайте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заявки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центре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посещение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районного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центра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месту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жительства</w:t>
            </w:r>
            <w:r>
              <w:rPr>
                <w:rFonts w:asciiTheme="minorEastAsia" w:hAnsiTheme="minorEastAsia"/>
                <w:szCs w:val="20"/>
              </w:rPr>
              <w:t xml:space="preserve"> ② </w:t>
            </w:r>
            <w:r>
              <w:rPr>
                <w:rFonts w:asciiTheme="minorEastAsia" w:hAnsiTheme="minorEastAsia"/>
                <w:szCs w:val="20"/>
              </w:rPr>
              <w:t>заявление</w:t>
            </w:r>
            <w:r>
              <w:rPr>
                <w:rFonts w:asciiTheme="minorEastAsia" w:hAnsiTheme="minorEastAsia"/>
                <w:szCs w:val="20"/>
              </w:rPr>
              <w:t xml:space="preserve"> ③ </w:t>
            </w:r>
            <w:r>
              <w:rPr>
                <w:rFonts w:asciiTheme="minorEastAsia" w:hAnsiTheme="minorEastAsia"/>
                <w:szCs w:val="20"/>
              </w:rPr>
              <w:t>получение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материальной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возможны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частичные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изменения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плане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точной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>даты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>подачи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заявления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зависимости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от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ситуации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органа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거동이 불편하다면? 찾아가는 신청을 이용하세요!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신청기간→5.18.(월)~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Е</w:t>
            </w:r>
            <w:r>
              <w:rPr>
                <w:rFonts w:asciiTheme="minorEastAsia" w:hAnsiTheme="minorEastAsia"/>
                <w:szCs w:val="20"/>
              </w:rPr>
              <w:t>сли</w:t>
            </w:r>
            <w:r>
              <w:rPr>
                <w:rFonts w:asciiTheme="minorEastAsia" w:hAnsiTheme="minorEastAsia"/>
                <w:szCs w:val="20"/>
              </w:rPr>
              <w:t xml:space="preserve"> у </w:t>
            </w:r>
            <w:r>
              <w:rPr>
                <w:rFonts w:asciiTheme="minorEastAsia" w:hAnsiTheme="minorEastAsia"/>
                <w:szCs w:val="20"/>
              </w:rPr>
              <w:t>вас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проблемы</w:t>
            </w:r>
            <w:r>
              <w:rPr>
                <w:rFonts w:asciiTheme="minorEastAsia" w:hAnsiTheme="minorEastAsia"/>
                <w:szCs w:val="20"/>
              </w:rPr>
              <w:t xml:space="preserve"> с </w:t>
            </w:r>
            <w:r>
              <w:rPr>
                <w:rFonts w:asciiTheme="minorEastAsia" w:hAnsiTheme="minorEastAsia"/>
                <w:szCs w:val="20"/>
              </w:rPr>
              <w:t>передвижением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из-за здоровья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вы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можете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сделать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заявку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воспользуясь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услугой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подачи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дому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период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подачи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ки</w:t>
            </w:r>
            <w:r>
              <w:rPr>
                <w:rFonts w:asciiTheme="minorEastAsia" w:hAnsiTheme="minorEastAsia"/>
                <w:szCs w:val="20"/>
              </w:rPr>
              <w:t xml:space="preserve"> с 8го </w:t>
            </w:r>
            <w:r>
              <w:rPr>
                <w:rFonts w:asciiTheme="minorEastAsia" w:hAnsiTheme="minorEastAsia"/>
                <w:szCs w:val="20"/>
              </w:rPr>
              <w:t>мая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понедельник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고령, 장애인 등 거동이 불편한 주민 분들은 지자체에서 방문하여 접수를 도와드립니다.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①전화상담,확인 ②조회 ③방문, 접수 ④지급(상품권/선불카드)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color w:val="0000FF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С</w:t>
            </w:r>
            <w:r>
              <w:rPr>
                <w:rFonts w:asciiTheme="minorEastAsia" w:hAnsiTheme="minorEastAsia"/>
                <w:color w:val="0000FF"/>
                <w:szCs w:val="20"/>
              </w:rPr>
              <w:t>отрудники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органов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местного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помогут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с </w:t>
            </w:r>
            <w:r>
              <w:rPr>
                <w:rFonts w:asciiTheme="minorEastAsia" w:hAnsiTheme="minorEastAsia"/>
                <w:color w:val="0000FF"/>
                <w:szCs w:val="20"/>
              </w:rPr>
              <w:t>подачей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заявления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на дому для тех, кто по здоровью не может лично посетить центр местного самоуправления (</w:t>
            </w:r>
            <w:r>
              <w:rPr>
                <w:rFonts w:asciiTheme="minorEastAsia" w:hAnsiTheme="minorEastAsia"/>
                <w:color w:val="0000FF"/>
                <w:szCs w:val="20"/>
              </w:rPr>
              <w:t>пожилы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е лица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, </w:t>
            </w:r>
            <w:r>
              <w:rPr>
                <w:rFonts w:asciiTheme="minorEastAsia" w:hAnsiTheme="minorEastAsia"/>
                <w:color w:val="0000FF"/>
                <w:szCs w:val="20"/>
              </w:rPr>
              <w:t>инвалид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ы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и т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.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д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.)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</w:p>
          <w:p>
            <w:pPr>
              <w:pStyle w:val="a7"/>
              <w:ind w:leftChars="0"/>
              <w:numPr>
                <w:ilvl w:val="0"/>
                <w:numId w:val="3"/>
              </w:num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консультация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телефону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проверка</w:t>
            </w:r>
            <w:r>
              <w:rPr>
                <w:rFonts w:asciiTheme="minorEastAsia" w:hAnsiTheme="minorEastAsia"/>
                <w:szCs w:val="20"/>
              </w:rPr>
              <w:t xml:space="preserve"> ② </w:t>
            </w:r>
            <w:r>
              <w:rPr>
                <w:rFonts w:asciiTheme="minorEastAsia" w:hAnsiTheme="minorEastAsia"/>
                <w:szCs w:val="20"/>
              </w:rPr>
              <w:t>запрос</w:t>
            </w:r>
            <w:r>
              <w:rPr>
                <w:rFonts w:asciiTheme="minorEastAsia" w:hAnsiTheme="minorEastAsia"/>
                <w:szCs w:val="20"/>
              </w:rPr>
              <w:t xml:space="preserve"> ③ </w:t>
            </w:r>
            <w:r>
              <w:rPr>
                <w:rFonts w:asciiTheme="minorEastAsia" w:hAnsiTheme="minorEastAsia"/>
                <w:szCs w:val="20"/>
              </w:rPr>
              <w:t>посещение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помощь</w:t>
            </w:r>
            <w:r>
              <w:rPr>
                <w:rFonts w:asciiTheme="minorEastAsia" w:hAnsiTheme="minorEastAsia"/>
                <w:szCs w:val="20"/>
              </w:rPr>
              <w:t xml:space="preserve"> с </w:t>
            </w:r>
            <w:r>
              <w:rPr>
                <w:rFonts w:asciiTheme="minorEastAsia" w:hAnsiTheme="minorEastAsia"/>
                <w:szCs w:val="20"/>
              </w:rPr>
              <w:t>подачей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заявления</w:t>
            </w:r>
            <w:r>
              <w:rPr>
                <w:rFonts w:asciiTheme="minorEastAsia" w:hAnsiTheme="minorEastAsia"/>
                <w:szCs w:val="20"/>
              </w:rPr>
              <w:t xml:space="preserve"> ④ </w:t>
            </w:r>
            <w:r>
              <w:rPr>
                <w:rFonts w:asciiTheme="minorEastAsia" w:hAnsiTheme="minorEastAsia"/>
                <w:szCs w:val="20"/>
              </w:rPr>
              <w:t>выделение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материальной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  <w:r>
              <w:rPr>
                <w:rFonts w:asciiTheme="minorEastAsia" w:hAnsiTheme="minorEastAsia"/>
                <w:szCs w:val="20"/>
              </w:rPr>
              <w:t xml:space="preserve"> ( </w:t>
            </w:r>
            <w:r>
              <w:rPr>
                <w:rFonts w:asciiTheme="minorEastAsia" w:hAnsiTheme="minorEastAsia"/>
                <w:szCs w:val="20"/>
              </w:rPr>
              <w:t>талоны</w:t>
            </w:r>
            <w:r>
              <w:rPr>
                <w:rFonts w:asciiTheme="minorEastAsia" w:hAnsiTheme="minorEastAsia"/>
                <w:szCs w:val="20"/>
              </w:rPr>
              <w:t xml:space="preserve"> / </w:t>
            </w:r>
            <w:r>
              <w:rPr>
                <w:rFonts w:asciiTheme="minorEastAsia" w:hAnsiTheme="minorEastAsia"/>
                <w:szCs w:val="20"/>
              </w:rPr>
              <w:t>предоплатная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карточка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 안내사항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И</w:t>
            </w:r>
            <w:r>
              <w:rPr>
                <w:rFonts w:asciiTheme="minorEastAsia" w:hAnsiTheme="minorEastAsia"/>
                <w:szCs w:val="20"/>
              </w:rPr>
              <w:t>ная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информация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이의신청방법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5.4.(월)~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신청방법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①주민센터 방문 ②증빙서류 제출 ③검토 후 의견 통보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④지원금 신청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※구체적 이의신청 일정 등은 지자체별 일부 변동 가능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В</w:t>
            </w:r>
            <w:r>
              <w:rPr>
                <w:rFonts w:asciiTheme="minorEastAsia" w:hAnsiTheme="minorEastAsia"/>
                <w:szCs w:val="20"/>
              </w:rPr>
              <w:t>озражения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>принимаются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следующем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порядке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дата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подачи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заявления</w:t>
            </w:r>
            <w:r>
              <w:rPr>
                <w:rFonts w:asciiTheme="minorEastAsia" w:hAnsiTheme="minorEastAsia"/>
                <w:szCs w:val="20"/>
              </w:rPr>
              <w:t xml:space="preserve"> с 4го </w:t>
            </w:r>
            <w:r>
              <w:rPr>
                <w:rFonts w:asciiTheme="minorEastAsia" w:hAnsiTheme="minorEastAsia"/>
                <w:szCs w:val="20"/>
              </w:rPr>
              <w:t>мая</w:t>
            </w:r>
            <w:r>
              <w:rPr>
                <w:rFonts w:asciiTheme="minorEastAsia" w:hAnsiTheme="minor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понедельник</w:t>
            </w:r>
            <w:r>
              <w:rPr>
                <w:rFonts w:asciiTheme="minorEastAsia" w:hAnsiTheme="minorEastAsia"/>
                <w:szCs w:val="20"/>
              </w:rPr>
              <w:t xml:space="preserve">)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способ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заявки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посещение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органов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  <w:r>
              <w:rPr>
                <w:rFonts w:asciiTheme="minorEastAsia" w:hAnsiTheme="minorEastAsia"/>
                <w:szCs w:val="20"/>
              </w:rPr>
              <w:t xml:space="preserve"> ② </w:t>
            </w:r>
            <w:r>
              <w:rPr>
                <w:rFonts w:asciiTheme="minorEastAsia" w:hAnsiTheme="minorEastAsia"/>
                <w:szCs w:val="20"/>
              </w:rPr>
              <w:t>предоставление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необходимых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дпкументов</w:t>
            </w:r>
            <w:r>
              <w:rPr>
                <w:rFonts w:asciiTheme="minorEastAsia" w:hAnsiTheme="minorEastAsia"/>
                <w:szCs w:val="20"/>
              </w:rPr>
              <w:t xml:space="preserve"> ③ </w:t>
            </w:r>
            <w:r>
              <w:rPr>
                <w:rFonts w:asciiTheme="minorEastAsia" w:hAnsiTheme="minorEastAsia"/>
                <w:szCs w:val="20"/>
              </w:rPr>
              <w:t>извещение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после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тщ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а</w:t>
            </w:r>
            <w:r>
              <w:rPr>
                <w:rFonts w:asciiTheme="minorEastAsia" w:hAnsiTheme="minorEastAsia"/>
                <w:szCs w:val="20"/>
              </w:rPr>
              <w:t>тельного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изучения</w:t>
            </w:r>
            <w:r>
              <w:rPr>
                <w:rFonts w:asciiTheme="minorEastAsia" w:hAnsiTheme="minorEastAsia"/>
                <w:szCs w:val="20"/>
              </w:rPr>
              <w:t xml:space="preserve"> ④ </w:t>
            </w:r>
            <w:r>
              <w:rPr>
                <w:rFonts w:asciiTheme="minorEastAsia" w:hAnsiTheme="minorEastAsia"/>
                <w:szCs w:val="20"/>
              </w:rPr>
              <w:t>подача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заявления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получение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материальной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возможны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>частичные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изменения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подачи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возражения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зависимости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от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того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или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органа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местного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самоуправления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사용 안내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С</w:t>
            </w:r>
            <w:r>
              <w:rPr>
                <w:rFonts w:asciiTheme="minorEastAsia" w:hAnsiTheme="minorEastAsia"/>
                <w:szCs w:val="20"/>
              </w:rPr>
              <w:t>пособ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использования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материальной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помощи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·2020.8.31.까지 사용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·사용지역, 업종, 온라인 사용에 일부 제한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·잔액은 환급불가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использовать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до</w:t>
            </w:r>
            <w:r>
              <w:rPr>
                <w:rFonts w:asciiTheme="minorEastAsia" w:hAnsiTheme="minorEastAsia"/>
                <w:szCs w:val="20"/>
              </w:rPr>
              <w:t xml:space="preserve"> 31го </w:t>
            </w:r>
            <w:r>
              <w:rPr>
                <w:rFonts w:asciiTheme="minorEastAsia" w:hAnsiTheme="minorEastAsia"/>
                <w:szCs w:val="20"/>
              </w:rPr>
              <w:t>августа</w:t>
            </w:r>
            <w:r>
              <w:rPr>
                <w:rFonts w:asciiTheme="minorEastAsia" w:hAnsiTheme="minorEastAsia"/>
                <w:szCs w:val="20"/>
              </w:rPr>
              <w:t xml:space="preserve"> 2020 </w:t>
            </w:r>
            <w:r>
              <w:rPr>
                <w:rFonts w:asciiTheme="minorEastAsia" w:hAnsiTheme="minorEastAsia"/>
                <w:szCs w:val="20"/>
              </w:rPr>
              <w:t>года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>возможны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ограничения</w:t>
            </w:r>
            <w:r>
              <w:rPr>
                <w:rFonts w:asciiTheme="minorEastAsia" w:hAnsiTheme="minorEastAsia"/>
                <w:szCs w:val="20"/>
              </w:rPr>
              <w:t xml:space="preserve"> в </w:t>
            </w:r>
            <w:r>
              <w:rPr>
                <w:rFonts w:asciiTheme="minorEastAsia" w:hAnsiTheme="minorEastAsia"/>
                <w:szCs w:val="20"/>
              </w:rPr>
              <w:t>зависимости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от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использования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используемая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местность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заведение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онлайн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использование</w:t>
            </w:r>
            <w:r>
              <w:rPr>
                <w:rFonts w:asciiTheme="minorEastAsia" w:hAnsiTheme="minorEastAsia"/>
                <w:szCs w:val="20"/>
              </w:rPr>
              <w:t>.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>оставшаяся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сумма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возврату не подлежит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행정안전부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color w:val="0000FF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Министерство общественной администрации и безопасности (Республика Корея)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Министерство по делам женщин и семьи</w:t>
            </w:r>
          </w:p>
        </w:tc>
      </w:tr>
      <w:tr>
        <w:trPr>
          <w:trHeight w:val="474" w:hRule="atLeast"/>
        </w:trPr>
        <w:tc>
          <w:tcPr>
            <w:tcW w:w="5983" w:type="dxa"/>
            <w:vAlign w:val="top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5356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Д</w:t>
            </w:r>
            <w:r>
              <w:rPr>
                <w:rFonts w:asciiTheme="minorEastAsia" w:hAnsiTheme="minorEastAsia"/>
                <w:color w:val="0000FF"/>
                <w:szCs w:val="20"/>
              </w:rPr>
              <w:t>анный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0"/>
              </w:rPr>
              <w:t>перевод</w:t>
            </w:r>
            <w:r>
              <w:rPr>
                <w:rFonts w:asciiTheme="minorEastAsia" w:hAnsiTheme="minorEastAsia"/>
                <w:color w:val="0000FF"/>
                <w:szCs w:val="20"/>
              </w:rPr>
              <w:t xml:space="preserve"> </w:t>
            </w:r>
            <w:r>
              <w:rPr>
                <w:lang w:val="ru-RU"/>
                <w:rFonts w:asciiTheme="minorEastAsia" w:hAnsiTheme="minorEastAsia"/>
                <w:color w:val="0000FF"/>
                <w:szCs w:val="20"/>
                <w:rtl w:val="off"/>
              </w:rPr>
              <w:t>предоставлен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Колл-центром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Данури</w:t>
            </w:r>
            <w:r>
              <w:rPr>
                <w:rFonts w:asciiTheme="minorEastAsia" w:hAnsiTheme="minorEastAsia"/>
                <w:szCs w:val="20"/>
              </w:rPr>
              <w:t xml:space="preserve"> 1577-1366</w:t>
            </w:r>
          </w:p>
        </w:tc>
      </w:tr>
    </w:tbl>
    <w:p>
      <w:pPr>
        <w:spacing w:after="0" w:line="240" w:lineRule="auto"/>
        <w:rPr>
          <w:rFonts w:asciiTheme="minorEastAsia" w:hAnsiTheme="minorEastAsia"/>
          <w:szCs w:val="20"/>
        </w:rPr>
      </w:pPr>
    </w:p>
    <w:sectPr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a8c4d35"/>
    <w:multiLevelType w:val="hybridMultilevel"/>
    <w:tmpl w:val="7f381b70"/>
    <w:lvl w:ilvl="0" w:tplc="18d643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85c45e6"/>
    <w:multiLevelType w:val="hybridMultilevel"/>
    <w:tmpl w:val="5ee84f78"/>
    <w:lvl w:ilvl="0" w:tplc="a210bd8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e4563"/>
    <w:multiLevelType w:val="hybridMultilevel"/>
    <w:tmpl w:val="239ebf36"/>
    <w:lvl w:ilvl="0" w:tplc="c8c4ae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paragraph" w:styleId="a7">
    <w:name w:val="List Paragraph"/>
    <w:uiPriority w:val="52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김나연</dc:creator>
  <cp:keywords/>
  <dc:description/>
  <cp:lastModifiedBy>김나연</cp:lastModifiedBy>
  <cp:revision>1</cp:revision>
  <dcterms:created xsi:type="dcterms:W3CDTF">2020-05-04T05:20:00Z</dcterms:created>
  <dcterms:modified xsi:type="dcterms:W3CDTF">2020-05-06T06:05:47Z</dcterms:modified>
  <cp:version>1000.0100.01</cp:version>
</cp:coreProperties>
</file>